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sz w:val="22"/>
          <w:szCs w:val="22"/>
        </w:rPr>
        <w:id w:val="395939291"/>
        <w:docPartObj>
          <w:docPartGallery w:val="Cover Pages"/>
          <w:docPartUnique/>
        </w:docPartObj>
      </w:sdtPr>
      <w:sdtEndPr/>
      <w:sdtContent>
        <w:p w14:paraId="7C2F306D" w14:textId="51BFCFE3" w:rsidR="00815225" w:rsidRPr="00815225" w:rsidRDefault="00815225" w:rsidP="00170243">
          <w:pPr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 </w:t>
          </w:r>
        </w:p>
        <w:p w14:paraId="7DF2C6DC" w14:textId="5A206D41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Na temelju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lanka 18. Zakona o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 xml:space="preserve">unu (“Narodne novine”, broj 144/21) i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lanka 38.Statuta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ine Brtonigla-Verteneglio (“Službene novine Općine Brtonigla-Verteneglio” broj: 03/18, 03/21, 07/21-pročišćeni tekst, 16/22),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insko vije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e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 xml:space="preserve">ine Brtonigla-Verteneglio na  </w:t>
          </w:r>
          <w:r w:rsidR="00170243">
            <w:rPr>
              <w:rFonts w:ascii="Arial" w:hAnsi="Arial" w:cs="Arial"/>
              <w:sz w:val="22"/>
              <w:szCs w:val="22"/>
            </w:rPr>
            <w:t>24</w:t>
          </w:r>
          <w:r w:rsidRPr="00815225">
            <w:rPr>
              <w:rFonts w:ascii="Arial" w:hAnsi="Arial" w:cs="Arial"/>
              <w:sz w:val="22"/>
              <w:szCs w:val="22"/>
            </w:rPr>
            <w:t xml:space="preserve">. sjednici održanoj dana </w:t>
          </w:r>
          <w:r w:rsidR="00170243">
            <w:rPr>
              <w:rFonts w:ascii="Arial" w:hAnsi="Arial" w:cs="Arial"/>
              <w:sz w:val="22"/>
              <w:szCs w:val="22"/>
            </w:rPr>
            <w:t>13.prosinca</w:t>
          </w:r>
          <w:r w:rsidRPr="00815225">
            <w:rPr>
              <w:rFonts w:ascii="Arial" w:hAnsi="Arial" w:cs="Arial"/>
              <w:sz w:val="22"/>
              <w:szCs w:val="22"/>
            </w:rPr>
            <w:t xml:space="preserve">  2024.godine donijelo je</w:t>
          </w:r>
        </w:p>
        <w:p w14:paraId="65C3E9B8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27EA252A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iCs/>
              <w:sz w:val="22"/>
              <w:szCs w:val="22"/>
            </w:rPr>
          </w:pPr>
          <w:r w:rsidRPr="00815225">
            <w:rPr>
              <w:rFonts w:ascii="Arial" w:hAnsi="Arial" w:cs="Arial"/>
              <w:b/>
              <w:bCs/>
              <w:iCs/>
              <w:sz w:val="22"/>
              <w:szCs w:val="22"/>
            </w:rPr>
            <w:t>ODLUKU</w:t>
          </w:r>
        </w:p>
        <w:p w14:paraId="5CA0969F" w14:textId="20F2784E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iCs/>
              <w:sz w:val="22"/>
              <w:szCs w:val="22"/>
            </w:rPr>
          </w:pPr>
          <w:r w:rsidRPr="00815225">
            <w:rPr>
              <w:rFonts w:ascii="Arial" w:hAnsi="Arial" w:cs="Arial"/>
              <w:b/>
              <w:bCs/>
              <w:iCs/>
              <w:sz w:val="22"/>
              <w:szCs w:val="22"/>
            </w:rPr>
            <w:t>o izvršavanju Proračuna Općine Brtonigla-Verteneglio za 2025. godinu</w:t>
          </w:r>
        </w:p>
        <w:p w14:paraId="17BF2DDA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bCs/>
              <w:iCs/>
              <w:sz w:val="22"/>
              <w:szCs w:val="22"/>
            </w:rPr>
          </w:pPr>
        </w:p>
        <w:p w14:paraId="1C4EC0BD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1444E383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1.</w:t>
          </w:r>
        </w:p>
        <w:p w14:paraId="31D8CBB1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650B1A7E" w14:textId="792203C0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Ovom se Odlukom ure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đ</w:t>
          </w:r>
          <w:r w:rsidRPr="00815225">
            <w:rPr>
              <w:rFonts w:ascii="Arial" w:hAnsi="Arial" w:cs="Arial"/>
              <w:sz w:val="22"/>
              <w:szCs w:val="22"/>
            </w:rPr>
            <w:t>uje struktura 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ine Brtonigla-Verteneglio za 2025.godinu (u daljnjem tekstu: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un), njegovo izvršavanje, opseg zaduživanja i jamstava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ine Brtonigla-Verteneglio (u daljnjem tekstu: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ina), upravljanje dugom te financijskom i nefinancijskom imovinom, pojedine ovlasti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elnika u izvršavanju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 te druga pitanja u izvršavanju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una.</w:t>
          </w:r>
        </w:p>
        <w:p w14:paraId="760441C4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1C5BEEEC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2.</w:t>
          </w:r>
        </w:p>
        <w:p w14:paraId="0DE98ACF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 xml:space="preserve">Proračun se sastoji od Općeg i Posebnog dijela, te Obrazloženja. </w:t>
          </w:r>
        </w:p>
        <w:p w14:paraId="537EEE15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Opći dio Proračuna sadrži: sažetak Računa prihoda i rashoda i Računa financiranja, Račun prihoda i rashoda i Račun financiranja.</w:t>
          </w:r>
        </w:p>
        <w:p w14:paraId="47806F06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U Računu prihoda i rashoda iskazani su svi porezni i neporezni prihodi i prihodi od nefinancijske imovine te sredstva za financiranje javnih rashoda na razini Općine Brtonigla-Verteneglio (u daljnjem tektu: Općine) i proračunskih korisnika.</w:t>
          </w:r>
        </w:p>
        <w:p w14:paraId="25301964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U Računu financiranja iskazani su primici od financijske imovine i zaduživanja te svi izdaci za financijsku imovinu i otplatu kredita i zajmova.</w:t>
          </w:r>
        </w:p>
        <w:p w14:paraId="414ACD7F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Posebni dio Proračuna sastoji se od plana rashoda i izdataka proračunskih korisnika iskazanih po organizacijskoj  klasifikaciji, izvorima financiranja i ekonomskoj klasifikaciji, raspoređenih u programe koji se sastoje od aktivnosti i projekata.</w:t>
          </w:r>
        </w:p>
        <w:p w14:paraId="6DBA5581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sz w:val="22"/>
              <w:szCs w:val="22"/>
            </w:rPr>
          </w:pPr>
          <w:r w:rsidRPr="00815225">
            <w:rPr>
              <w:b/>
              <w:sz w:val="22"/>
              <w:szCs w:val="22"/>
            </w:rPr>
            <w:t>Članak 3.</w:t>
          </w:r>
        </w:p>
        <w:p w14:paraId="206F23EF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Sredstva za rashode i izdatke korisnika Proračuna osiguravaju se proračunskim korisnicima, i to: tijelima općinske uprave, vlastitom pogonu, ustanovi kojoj je Općina osnivač (dječji vrtić), te ostalim korisnicima koji su u njegovom Posebnom dijelu određeni za nositelje sredstava.</w:t>
          </w:r>
        </w:p>
        <w:p w14:paraId="62C25B38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5532538D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4.</w:t>
          </w:r>
        </w:p>
        <w:p w14:paraId="06BC2AC2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Za planiranje i izvršavanje Proračuna u cjelini je odgovoran Načelnik.</w:t>
          </w:r>
        </w:p>
        <w:p w14:paraId="7BC1027B" w14:textId="030AFE0D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Načelnik i odgovorna osobe proračunskog korisnika dužni su primjenjivati fiskalna pravila Zakona o fiskalnoj odgovornosti („Narodne novine“ 111/18, 83/23) i osigurati učinkovito i djelotvorno funkcioniranje sustva financijskog upravljanja i kontrola kao i sustava nadzora i kontrole nad trošenjem proračunskih sredstava.</w:t>
          </w:r>
        </w:p>
        <w:p w14:paraId="368916C1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Prihodi Proračuna ubiru se i uplaćuju u Proračun u skladu sa zakonom i drugim propisima neovisno o visini prihoda planiranih u Proračunu.</w:t>
          </w:r>
        </w:p>
        <w:p w14:paraId="443ABD82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lastRenderedPageBreak/>
            <w:t>Članak 5.</w:t>
          </w:r>
        </w:p>
        <w:p w14:paraId="1C850470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Prihodi koje proračunski korisnik ostvari od vlastite djelatnosti (vlastiti prihodi), iz donacija, po posebnim propisima i iz drugih izvora, namjenski su prihodi Proračuna.</w:t>
          </w:r>
        </w:p>
        <w:p w14:paraId="3607F8DB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Prihodi iz stavka 1. ovog članka planiraju se  financijskim planom proračunskog korisnika i uplaćuju na njegov račun, a mogu se koristiti isključivo za namjene utvrđene financijskim planom.</w:t>
          </w:r>
        </w:p>
        <w:p w14:paraId="6AE2BDED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 xml:space="preserve">Ako se tijekom proračunske godine ukaže potreba za izmjenama i dopunama financijskog plana proračunskog korisnika, isti ih može donijeti bez prethodne suglasnosti osnivača, ali isključivo u visini ostvarenih vlastitih i namjenskih prihoda i primitaka. </w:t>
          </w:r>
        </w:p>
        <w:p w14:paraId="179D1B2C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U slučaju nastanka događaja iz stavka 3. ovog članka proračunski korisnik je dužan pismenim putem izvijestiti Jedinstveni upravni odjel, najkasnije u roku od 5 dana po isteku mjeseca u kojemu je donio izmjene i dopune financijskog plana.</w:t>
          </w:r>
        </w:p>
        <w:p w14:paraId="01281405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Proračunski korisnik može preuzimati obveze i plaćati ih po stavkama rashoda za čije su financiranje planirani namjenski prihodi iz stavka 1. ovog članka isključivo do iznosa naplaćenih namjenskih prihoda.</w:t>
          </w:r>
        </w:p>
        <w:p w14:paraId="7994BDA8" w14:textId="77777777" w:rsidR="00815225" w:rsidRPr="00815225" w:rsidRDefault="00815225" w:rsidP="0081522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b/>
              <w:sz w:val="22"/>
              <w:szCs w:val="22"/>
            </w:rPr>
            <w:t>Članak 6.</w:t>
          </w:r>
        </w:p>
        <w:p w14:paraId="5A3CDEED" w14:textId="77777777" w:rsidR="00815225" w:rsidRPr="00815225" w:rsidRDefault="00815225" w:rsidP="00815225">
          <w:pPr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6C410A14" w14:textId="77777777" w:rsidR="00815225" w:rsidRPr="00815225" w:rsidRDefault="00815225" w:rsidP="00815225">
          <w:pPr>
            <w:jc w:val="both"/>
            <w:rPr>
              <w:rFonts w:ascii="Arial" w:hAnsi="Arial" w:cs="Arial"/>
              <w:bCs/>
              <w:sz w:val="22"/>
              <w:szCs w:val="22"/>
            </w:rPr>
          </w:pPr>
          <w:r w:rsidRPr="00815225">
            <w:rPr>
              <w:rFonts w:ascii="Arial" w:hAnsi="Arial" w:cs="Arial"/>
              <w:bCs/>
              <w:sz w:val="22"/>
              <w:szCs w:val="22"/>
            </w:rPr>
            <w:t>Proračunski korisnik Općine Brtonigla-Verteneglio izuzet je od obveze uplate namjenskih prihoda i primitaka te vlastitih prihoda u Proračun, ali je dužan tromjesečno izvještavati Jedinstveni upravni odjel Općine Brtonigla-Verteneglio o ostvarenim i utrošenim sredstvima iz stavka 1. ovog članka, što će se definirati Uputama o načinu praćenja, ostvarivanja i trošenja vlastitih i namjenskih prihoda i primitaka proračunskih korisnika uključenih u proračun Općine Brtonigle-Verteneglio.</w:t>
          </w:r>
        </w:p>
        <w:p w14:paraId="162C9542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7.</w:t>
          </w:r>
        </w:p>
        <w:p w14:paraId="4766BF58" w14:textId="77777777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  <w:lang w:val="fi-FI"/>
            </w:rPr>
          </w:pPr>
          <w:r w:rsidRPr="00815225">
            <w:rPr>
              <w:rFonts w:ascii="Arial" w:hAnsi="Arial" w:cs="Arial"/>
              <w:sz w:val="22"/>
              <w:szCs w:val="22"/>
              <w:lang w:val="fi-FI"/>
            </w:rPr>
            <w:t xml:space="preserve">Namjenski prihodi iz članka 5. stavka 1. ove Odluke koji ne budu iskorišteni u ovoj proračunskoj godini prenose se u narednu proračunsku godinu i koriste se za iste namjene za koje su bili utvrđeni financijskim planom proračunskih korisnika za ovu proračunsku godinu. </w:t>
          </w:r>
        </w:p>
        <w:p w14:paraId="4BC77FEA" w14:textId="77777777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  <w:lang w:val="fi-FI"/>
            </w:rPr>
          </w:pPr>
          <w:r w:rsidRPr="00815225">
            <w:rPr>
              <w:rFonts w:ascii="Arial" w:hAnsi="Arial" w:cs="Arial"/>
              <w:sz w:val="22"/>
              <w:szCs w:val="22"/>
              <w:lang w:val="fi-FI"/>
            </w:rPr>
            <w:t xml:space="preserve">Za opseg prenesenih prihoda iz stavka 1. ovoga članka povećat će se financijski plan proračunskog korisnika za narednu godinu.  </w:t>
          </w:r>
        </w:p>
        <w:p w14:paraId="3F8311E5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8.</w:t>
          </w:r>
        </w:p>
        <w:p w14:paraId="22524886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Svaki rashod i izdatak iz Proračuna mora se temeljiti na vjerodostojnoj knjigovodstvenoj ispravi kojom se dokazuje obveza plaćanja.</w:t>
          </w:r>
        </w:p>
        <w:p w14:paraId="49B4F759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Odobrenje za plaćanje i nalog za isplatu izdaje Načelnik.</w:t>
          </w:r>
        </w:p>
        <w:p w14:paraId="3E81F3CA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eastAsia="TimesNewRoman" w:hAnsi="Arial" w:cs="Arial"/>
              <w:b/>
              <w:sz w:val="22"/>
              <w:szCs w:val="22"/>
            </w:rPr>
          </w:pPr>
        </w:p>
        <w:p w14:paraId="2FEB3FD9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9.</w:t>
          </w:r>
        </w:p>
        <w:p w14:paraId="6EFD3AC6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Postupak nabave roba, radova i usluga mora se temeljiti na propisima o javnoj nabavi.</w:t>
          </w:r>
        </w:p>
        <w:p w14:paraId="4EFFB5DE" w14:textId="77777777" w:rsidR="002636AF" w:rsidRDefault="002636AF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</w:p>
        <w:p w14:paraId="2D10F7B7" w14:textId="77777777" w:rsidR="002636AF" w:rsidRDefault="002636AF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</w:p>
        <w:p w14:paraId="03C4C10F" w14:textId="42F0DB11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lastRenderedPageBreak/>
            <w:t>Članak 10.</w:t>
          </w:r>
        </w:p>
        <w:p w14:paraId="2E2F0B22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Sredstva za rad političkih stranaka zastupljenih u Općinskom vijeću, naknade troškova za rad članova Općinskog vijeća i njegovih radnih tijela, isplaćivat će se temeljem Odluka Općinskog vijeća.</w:t>
          </w:r>
        </w:p>
        <w:p w14:paraId="5DCAD10B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11.</w:t>
          </w:r>
        </w:p>
        <w:p w14:paraId="48C28DF4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Pogrešno ili više uplaćeni prihodi  Proračuna, vraćaju se uplatiteljima na teret tih prihoda.</w:t>
          </w:r>
        </w:p>
        <w:p w14:paraId="6ACCA640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Pogrešno ili više uplaćeni prihodi u proračune prethodnih godina, vraćaju se uplatiteljima na teret rashoda Proračuna.</w:t>
          </w:r>
        </w:p>
        <w:p w14:paraId="4812D292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12.</w:t>
          </w:r>
        </w:p>
        <w:p w14:paraId="1525057B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Načelnik može na zahtjev dužnika odgoditi plaćanje ili odobriti obročnu otplatu duga po osnovi javnih i nejavnih davanja u skladu sa Zakonskim i podzakonskim propisima, ukoliko bi se na taj način poboljšala dužnikova mogućnost otplate duga, odnosno ako bi naplata duga u cijelosti dovela do nelikvidnosti (blokade računa) dužnika.</w:t>
          </w:r>
        </w:p>
        <w:p w14:paraId="484FFC60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Načelnik može otpisati u cijelosti ili djelomično otpisati potraživanja Općine ako bi troškovi postupka naplate potraživanja bili u nesrazmjeru s visinom potraživanja, odnosno zbog drugih opravdanih razloga, u skladu s propisima.</w:t>
          </w:r>
        </w:p>
        <w:p w14:paraId="3F91CDA9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13.</w:t>
          </w:r>
        </w:p>
        <w:p w14:paraId="578B9D9E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Instrumente osiguranja plaćanja, kojima se na teret Proračuna stvaraju obveze potpisuje Načelnik.</w:t>
          </w:r>
        </w:p>
        <w:p w14:paraId="222A8C58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Instrumenti osiguranja plaćanja primljeni od pravnih osoba kao sredstvo osiguranja naplate potraživanja ili izvođenja radova i usluga, dostavljaju se Jedinstvenom upravnom odjelu.</w:t>
          </w:r>
        </w:p>
        <w:p w14:paraId="5556CC8E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14.</w:t>
          </w:r>
        </w:p>
        <w:p w14:paraId="7DF25373" w14:textId="77777777" w:rsidR="00815225" w:rsidRPr="00815225" w:rsidRDefault="00815225" w:rsidP="00815225">
          <w:pPr>
            <w:pStyle w:val="BodyText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Načelnik odobrava preraspodjelu sredstava na proračunskim stavkama kod proračunskih korisnika ili između proračunskih korisnika najviše do 5% rashoda i izdataka na stavci koja se umanjuje.</w:t>
          </w:r>
        </w:p>
        <w:p w14:paraId="54786A3F" w14:textId="77777777" w:rsidR="00815225" w:rsidRPr="00815225" w:rsidRDefault="00815225" w:rsidP="00815225">
          <w:pPr>
            <w:pStyle w:val="BodyText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Načelnik je o preraspodjeli sredstava obvezan izvijestiti Općinsko vijeće prilikom podnošenja polugodišnjeg i godišnjeg izvještaja o izvršenju Proračuna.</w:t>
          </w:r>
        </w:p>
        <w:p w14:paraId="2A90DC50" w14:textId="77777777" w:rsidR="00815225" w:rsidRPr="00815225" w:rsidRDefault="00815225" w:rsidP="00815225">
          <w:pPr>
            <w:pStyle w:val="BodyText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Ako tijekom godine dođe do znatnije neusklađenosti ostvarivanja planiranih prihoda/primitaka i rashoda/ izdataka Proračuna, predložit će se Općinskom vijeću  donošenje  izmjena i dopuna Proračuna.</w:t>
          </w:r>
        </w:p>
        <w:p w14:paraId="1260B258" w14:textId="77777777" w:rsidR="00815225" w:rsidRPr="00815225" w:rsidRDefault="00815225" w:rsidP="00815225">
          <w:pPr>
            <w:pStyle w:val="BodyText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22A6A62C" w14:textId="77777777" w:rsidR="00815225" w:rsidRPr="00815225" w:rsidRDefault="00815225" w:rsidP="00815225">
          <w:pPr>
            <w:pStyle w:val="BodyText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815225">
            <w:rPr>
              <w:rFonts w:ascii="Arial" w:hAnsi="Arial" w:cs="Arial"/>
              <w:b/>
              <w:bCs/>
              <w:sz w:val="22"/>
              <w:szCs w:val="22"/>
            </w:rPr>
            <w:t>Članak 15.</w:t>
          </w:r>
        </w:p>
        <w:p w14:paraId="6E41B568" w14:textId="77777777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Hitni i nepredviđeni izdaci, te izdaci za neplanirane ili nedovoljno planirane izdatke, koji se pojave tijekom proračunske godine, podmiruju se iz nepredviđenih rashoda do visine proračunske zalihe utvrđene godišnjim proračunom.</w:t>
          </w:r>
        </w:p>
        <w:p w14:paraId="69D9454C" w14:textId="77777777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 korištenju sredstava proračunske zalihe Načelnik izvješćuje Općinsko  vijeće.</w:t>
          </w:r>
        </w:p>
        <w:p w14:paraId="4F4471D0" w14:textId="22FA1DA2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lastRenderedPageBreak/>
            <w:t>U Proračunu Općine Brtonigla-Verteneglio za 2025. godinu utvrđuju se sredstva za proračunsku pričuvu  u iznosu od 10.000,00</w:t>
          </w:r>
          <w:r w:rsidRPr="00815225">
            <w:rPr>
              <w:color w:val="FF0000"/>
              <w:sz w:val="22"/>
              <w:szCs w:val="22"/>
            </w:rPr>
            <w:t xml:space="preserve"> </w:t>
          </w:r>
          <w:r w:rsidRPr="00815225">
            <w:rPr>
              <w:color w:val="auto"/>
              <w:sz w:val="22"/>
              <w:szCs w:val="22"/>
            </w:rPr>
            <w:t>EUR.</w:t>
          </w:r>
          <w:r w:rsidRPr="00815225">
            <w:rPr>
              <w:sz w:val="22"/>
              <w:szCs w:val="22"/>
            </w:rPr>
            <w:t xml:space="preserve"> Sredstva proračunske pričuve ne mogu se koristiti za davanje pozajmica. </w:t>
          </w:r>
        </w:p>
        <w:p w14:paraId="0FCF2669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16.</w:t>
          </w:r>
        </w:p>
        <w:p w14:paraId="19014890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Općina se može kratkoročno zadužiti najduže do 12 mjeseci i isključivo za premošćivanje jaza nastalog zbog različite dinamike priljeva sredstava i dospijeća obveza, u skladu sa zakonom kojim se uređuje proračun.</w:t>
          </w:r>
        </w:p>
        <w:p w14:paraId="61497B8D" w14:textId="77777777" w:rsidR="00815225" w:rsidRPr="00815225" w:rsidRDefault="00815225" w:rsidP="00815225">
          <w:pPr>
            <w:pStyle w:val="NormalWeb"/>
            <w:spacing w:before="0" w:after="0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Odluku o kratkoročnom zaduživanju iz stavka 1. ovog članka donosi Načelnik.</w:t>
          </w:r>
        </w:p>
        <w:p w14:paraId="5B15B5C0" w14:textId="362E9686" w:rsidR="00815225" w:rsidRPr="00C76A53" w:rsidRDefault="00815225" w:rsidP="00815225">
          <w:pPr>
            <w:pStyle w:val="NormalWeb"/>
            <w:spacing w:before="0" w:after="0"/>
            <w:rPr>
              <w:color w:val="auto"/>
              <w:sz w:val="22"/>
              <w:szCs w:val="22"/>
            </w:rPr>
          </w:pPr>
          <w:r w:rsidRPr="00C76A53">
            <w:rPr>
              <w:color w:val="auto"/>
              <w:sz w:val="22"/>
              <w:szCs w:val="22"/>
            </w:rPr>
            <w:t xml:space="preserve">Općina se, u 2025. godini može kratkoročno zadužiti do iznosa od najviše 270.000,00 EUR. </w:t>
          </w:r>
        </w:p>
        <w:p w14:paraId="6AEA654F" w14:textId="77777777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17.</w:t>
          </w:r>
        </w:p>
        <w:p w14:paraId="3D3D6A61" w14:textId="77777777" w:rsidR="00815225" w:rsidRPr="00815225" w:rsidRDefault="00815225" w:rsidP="00815225">
          <w:pPr>
            <w:pStyle w:val="NormalWeb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Pogrešno ili više uplaćeni prihodi u Proračun, vraćaju se uplatiteljima na teret tih prihoda.</w:t>
          </w:r>
        </w:p>
        <w:p w14:paraId="7826ED9E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>Članak 18.</w:t>
          </w:r>
        </w:p>
        <w:p w14:paraId="0876B333" w14:textId="318C49B3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Plaćanje predujma može se ugovoriti samo u iznimnim slučajevima i to na temelju odobrenja Načelnika. Ukupan iznos plaćanja predujmovima u 2025. godini ne može preći iznos od 10.000,00 EUR .</w:t>
          </w:r>
        </w:p>
        <w:p w14:paraId="4CC5551D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495F0C1B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5E604817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19.</w:t>
          </w:r>
        </w:p>
        <w:p w14:paraId="2EBA83DB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Imovinu Općine čine sva financijska i nefinancijska imovina u općinskom vlasništvu, a upravljanje imovinom u vlasništvu Općine obavlja se u skladu sa odredbama zakona.</w:t>
          </w:r>
        </w:p>
        <w:p w14:paraId="446138CF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Stanje financijske i nefinancijske imovine i obveza utvrđuje se Godišnjim popisom imovine.</w:t>
          </w:r>
        </w:p>
        <w:p w14:paraId="60CD2547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391C0AF5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03DD1DA4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b/>
              <w:sz w:val="22"/>
              <w:szCs w:val="22"/>
            </w:rPr>
            <w:t>Članak 20.</w:t>
          </w:r>
        </w:p>
        <w:p w14:paraId="54C6DEBD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Raspoloživim nov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anim sredstvima na 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unu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 upravlja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elnik.</w:t>
          </w:r>
        </w:p>
        <w:p w14:paraId="6C5BE168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Slobodna nov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ana sredstva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 mogu se oro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iti kod poslovne banke poštuju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ela sigurnosti i likvidnosti. Ugovor o oro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avanju sklapa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elnik.</w:t>
          </w:r>
        </w:p>
        <w:p w14:paraId="1BE35070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Prihodi od upravljanja slobodnim nov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anim sredstvima prihod su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una.</w:t>
          </w:r>
        </w:p>
        <w:p w14:paraId="7A91A3B0" w14:textId="48920CB4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Nov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 xml:space="preserve">ana sredstva iz stavka 2. ovog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lanka mogu se plasirati samo s povratom do 31.prosinca 2025. godine.</w:t>
          </w:r>
        </w:p>
        <w:p w14:paraId="40419052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2E4A7D85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b/>
              <w:sz w:val="22"/>
              <w:szCs w:val="22"/>
            </w:rPr>
            <w:t>Članak 21.</w:t>
          </w:r>
        </w:p>
        <w:p w14:paraId="7ABE2816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U slučaju da prestane javni interes odnosno interes Općine za vlasništvom dionica ili udjela u kapitalu pravnih osoba, Općinsko vijeće može odlučiti da se dionice, odnosno udjeli u kapitalu prodaju, u skladu sa zakonskim odredbama.</w:t>
          </w:r>
        </w:p>
        <w:p w14:paraId="6C14CCD9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Sredstva ostvarena prodajom dionica ili udjela u kapitalu, mogu se koristiti samo za otplatu duga ili za nabavu imovine Općine.</w:t>
          </w:r>
        </w:p>
        <w:p w14:paraId="7503A095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273468CB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eastAsia="TimesNewRoman" w:hAnsi="Arial" w:cs="Arial"/>
              <w:b/>
              <w:sz w:val="22"/>
              <w:szCs w:val="22"/>
            </w:rPr>
          </w:pPr>
        </w:p>
        <w:p w14:paraId="20A5068B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22.</w:t>
          </w:r>
        </w:p>
        <w:p w14:paraId="75F8D151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  <w:shd w:val="clear" w:color="auto" w:fill="FFFFFF"/>
            </w:rPr>
            <w:t>Tekuće otplate glavnice duga po osnovi zaduživanja, iskazane u Računu financiranja Proračuna, s pripadajućim kamatama, imaju u izvršavanju Proračuna prednost pred svim ostalim rashodima i izdacima.</w:t>
          </w:r>
          <w:r w:rsidRPr="00815225">
            <w:rPr>
              <w:sz w:val="22"/>
              <w:szCs w:val="22"/>
            </w:rPr>
            <w:t>U iznos ukupne godišnje obveze uključena su i dana jamstva kao i neplaćene obveze iz prethodnih godina.</w:t>
          </w:r>
        </w:p>
        <w:p w14:paraId="658313EC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lastRenderedPageBreak/>
            <w:t>Pravne osobe u većinskom vlasništvu Općine i ustanove čiji je osnivač Općina  mogu se dugoročno zadužiti  samo  za investiciju i uz suglasnost nadležnih tijela Općine, sukladno pozitivnim propisima.</w:t>
          </w:r>
        </w:p>
        <w:p w14:paraId="70A03C8B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4E3F8B58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eastAsia="TimesNewRoman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Općina može dati jamstvo za ispunjenje obveza pravnoj osobi i ustanovi iz stavka 2. ovog članka sukladno pozitivnim propisima i statutu Općine. Dana jamstva uključuju se u opseg zaduženje Općine u skladu sa Zakonom o proračunu.</w:t>
          </w:r>
        </w:p>
        <w:p w14:paraId="76D189B4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5F9CBD51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1B17C13E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23.</w:t>
          </w:r>
        </w:p>
        <w:p w14:paraId="795D21D1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Proračunsko korisnik i trgovačko društvo u vlasništvu Općine, su obvezni izraditi godišnji obračun i dostaviti ga Jedinstvenom upravnom odjelu Općine, najkasnije 9 (devet) mjeseci nakon isteka poslovne godine radi usvajanja na Općinskom vijeću.</w:t>
          </w:r>
        </w:p>
        <w:p w14:paraId="04E734E8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34E56400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 i proračunski korisnik primjenjuju sustav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unskog 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unovodstva. Jedinstveni upravni odjel obavezan je prikupiti, uskladiti i konsolidirati njihove mjese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ne, tromjese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ne, polugodišnje i godišnje financijske izvještaje, sve sukladno zakonskim propisima o financijskom izvješ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ivanju.</w:t>
          </w:r>
        </w:p>
        <w:p w14:paraId="5F3A24EC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eastAsia="TimesNewRoman" w:hAnsi="Arial" w:cs="Arial"/>
              <w:b/>
              <w:sz w:val="22"/>
              <w:szCs w:val="22"/>
            </w:rPr>
          </w:pPr>
        </w:p>
        <w:p w14:paraId="54A7522B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eastAsia="TimesNewRoman" w:hAnsi="Arial" w:cs="Arial"/>
              <w:b/>
              <w:sz w:val="22"/>
              <w:szCs w:val="22"/>
            </w:rPr>
          </w:pPr>
        </w:p>
        <w:p w14:paraId="32080CB2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24.</w:t>
          </w:r>
        </w:p>
        <w:p w14:paraId="79DBD0AB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Jedinstveni upravni odjel ima pravo nadzora nad financijskim, materijalnim i računovodstvenim poslovanjem proračunskih korisnika, trgovačkih društva koja su u većinskom vlasništvu Općine, te nadzor nad zakonitošću, i namjenskom uporabom proračunskih sredstava kod svih korisnika Proračuna.</w:t>
          </w:r>
        </w:p>
        <w:p w14:paraId="00E11F52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Svi korisnici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unskih sredstava obvezni su dati sve potrebne podatke, isprave i izvješ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 xml:space="preserve">a koja se od njih zatraže. Ako se prilikom obavljanja kontrole utvrdi da su sredstva bila nepravilno korištena korisniku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 xml:space="preserve">e se umanjiti sredstva u visini nenamjenskog korištenja sredstava ili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 xml:space="preserve">e se privremeno obustaviti isplata sredstava na stavkama s kojih su sredstva bila nenamjenski utrošena. Odluku o umanjenju i obustavi doznake sredstava donijet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e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elnik.</w:t>
          </w:r>
        </w:p>
        <w:p w14:paraId="577B2F2E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eastAsia="TimesNewRoman" w:hAnsi="Arial" w:cs="Arial"/>
              <w:sz w:val="22"/>
              <w:szCs w:val="22"/>
            </w:rPr>
          </w:pPr>
        </w:p>
        <w:p w14:paraId="2BCDDFDD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</w:p>
        <w:p w14:paraId="1411F2A9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>Članak 25.</w:t>
          </w:r>
        </w:p>
        <w:p w14:paraId="0F96FAEA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Jedinstveni upravni odjel  dostavlja Načelniku polugodišnji i godišnji izvještaj o izvršenju Proračuna u rokovima propisanim Zakonom o proračunu.</w:t>
          </w:r>
        </w:p>
        <w:p w14:paraId="2E249B5B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Načelnik podnosi polugodišnji i godišnji izvještaj o izvršenju Proračuna Općinskom vijeću u rokovima propisanim Zakonom o proračunu.</w:t>
          </w:r>
        </w:p>
        <w:p w14:paraId="4D68BC50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</w:p>
        <w:p w14:paraId="460D2320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>Članak 26.</w:t>
          </w:r>
        </w:p>
        <w:p w14:paraId="01096935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Proračunski korisnik je dužan dostaviti polugodišnje i godišnje financijske izvještaje Jedinstvenom upravnom odjelu u zakonskim rokovima.</w:t>
          </w:r>
        </w:p>
        <w:p w14:paraId="6115BCEA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Jedinstveni upravni odjel  konsolidira financijske izvještaje iz stavka 1.ovoga članka za pojedine korisnike i dostavlja ih Načelniku.</w:t>
          </w:r>
        </w:p>
        <w:p w14:paraId="19FD52B9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</w:p>
        <w:p w14:paraId="265B4FDC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Jedinstveni upravni odjel Općine Brtonigla-Verteneglio izrađuje konsolidirani polugodišnji i godišnji financijski izvještaj za Proračun i proračunske korisnike i dostavlja ga Ministarstvu financija u roku utvrđenom Pravilnikom o financijskom izvještavanju u proračunskom računovodstvu (»Narodne novine« broj 37/22).</w:t>
          </w:r>
        </w:p>
        <w:p w14:paraId="18137DCC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</w:p>
        <w:p w14:paraId="3ECDAA8A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>Članak 27.</w:t>
          </w:r>
        </w:p>
        <w:p w14:paraId="73144925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Ako tijekom godine dođe do povećanja rashoda i /ili izdataka odnosno smanjenja prihoda Načelnik može poduzeti mjere za uravnoteženje Proračuna propisane Zakonom o proračunu.Ako se primjenom privremenih mjera ne uravnoteži Proračun, njegovo uravnoteženje, odnosno preraspodjela sredstava između proračunskih korisnika, utvrditi će Općinsko vijeće izmjenama i dopunama Proračuna.</w:t>
          </w:r>
        </w:p>
        <w:p w14:paraId="6C47088D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7C1FE9A7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</w:p>
        <w:p w14:paraId="6F53A32D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>Članak 28.</w:t>
          </w:r>
        </w:p>
        <w:p w14:paraId="76A7EAC2" w14:textId="258323CB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 se izvršava od 1. sije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nja do 31. prosinca 2025. godine.</w:t>
          </w:r>
        </w:p>
        <w:p w14:paraId="22E60698" w14:textId="7E55D67F" w:rsidR="00815225" w:rsidRPr="00815225" w:rsidRDefault="00815225" w:rsidP="00815225">
          <w:pPr>
            <w:shd w:val="clear" w:color="auto" w:fill="FFFFFF"/>
            <w:spacing w:after="75"/>
            <w:jc w:val="both"/>
            <w:rPr>
              <w:rFonts w:ascii="Arial" w:hAnsi="Arial" w:cs="Arial"/>
              <w:color w:val="333333"/>
              <w:sz w:val="22"/>
              <w:szCs w:val="22"/>
            </w:rPr>
          </w:pPr>
          <w:r w:rsidRPr="00815225">
            <w:rPr>
              <w:rFonts w:ascii="Arial" w:hAnsi="Arial" w:cs="Arial"/>
              <w:color w:val="000000"/>
              <w:sz w:val="22"/>
              <w:szCs w:val="22"/>
            </w:rPr>
            <w:t>Samo naplaćeni prihodi u kalendarskoj godini priznaju se kao prihodi Proračuna za 202</w:t>
          </w:r>
          <w:r w:rsidR="008616B6">
            <w:rPr>
              <w:rFonts w:ascii="Arial" w:hAnsi="Arial" w:cs="Arial"/>
              <w:color w:val="000000"/>
              <w:sz w:val="22"/>
              <w:szCs w:val="22"/>
            </w:rPr>
            <w:t>5</w:t>
          </w:r>
          <w:r w:rsidRPr="00815225">
            <w:rPr>
              <w:rFonts w:ascii="Arial" w:hAnsi="Arial" w:cs="Arial"/>
              <w:color w:val="000000"/>
              <w:sz w:val="22"/>
              <w:szCs w:val="22"/>
            </w:rPr>
            <w:t>. godinu.</w:t>
          </w:r>
        </w:p>
        <w:p w14:paraId="6D97C145" w14:textId="40666281" w:rsidR="00815225" w:rsidRPr="00815225" w:rsidRDefault="00815225" w:rsidP="00815225">
          <w:pPr>
            <w:shd w:val="clear" w:color="auto" w:fill="FFFFFF"/>
            <w:spacing w:after="75"/>
            <w:jc w:val="both"/>
            <w:rPr>
              <w:rFonts w:ascii="Arial" w:hAnsi="Arial" w:cs="Arial"/>
              <w:color w:val="333333"/>
              <w:sz w:val="22"/>
              <w:szCs w:val="22"/>
            </w:rPr>
          </w:pPr>
          <w:r w:rsidRPr="00815225">
            <w:rPr>
              <w:rFonts w:ascii="Arial" w:hAnsi="Arial" w:cs="Arial"/>
              <w:color w:val="000000"/>
              <w:sz w:val="22"/>
              <w:szCs w:val="22"/>
            </w:rPr>
            <w:t>Rashodi za koje je nastala obveza u 2024. godini rashodi su Proračuna za 202</w:t>
          </w:r>
          <w:r w:rsidR="008616B6">
            <w:rPr>
              <w:rFonts w:ascii="Arial" w:hAnsi="Arial" w:cs="Arial"/>
              <w:color w:val="000000"/>
              <w:sz w:val="22"/>
              <w:szCs w:val="22"/>
            </w:rPr>
            <w:t>5</w:t>
          </w:r>
          <w:r w:rsidRPr="00815225">
            <w:rPr>
              <w:rFonts w:ascii="Arial" w:hAnsi="Arial" w:cs="Arial"/>
              <w:color w:val="000000"/>
              <w:sz w:val="22"/>
              <w:szCs w:val="22"/>
            </w:rPr>
            <w:t>. godinu, neovisno o plaćanju.</w:t>
          </w:r>
        </w:p>
        <w:p w14:paraId="71DE5BEA" w14:textId="77777777" w:rsidR="00815225" w:rsidRPr="00815225" w:rsidRDefault="00815225" w:rsidP="00815225">
          <w:pPr>
            <w:shd w:val="clear" w:color="auto" w:fill="FFFFFF"/>
            <w:spacing w:after="75"/>
            <w:jc w:val="both"/>
            <w:rPr>
              <w:rFonts w:ascii="Arial" w:hAnsi="Arial" w:cs="Arial"/>
              <w:color w:val="333333"/>
              <w:sz w:val="22"/>
              <w:szCs w:val="22"/>
            </w:rPr>
          </w:pPr>
          <w:r w:rsidRPr="00815225">
            <w:rPr>
              <w:rFonts w:ascii="Arial" w:hAnsi="Arial" w:cs="Arial"/>
              <w:color w:val="000000"/>
              <w:sz w:val="22"/>
              <w:szCs w:val="22"/>
            </w:rPr>
            <w:t>O namjeni viška prihoda odnosno o pokriću manjka prihoda iz prethodne godine odlučuje Općinsko  vijeće.</w:t>
          </w:r>
        </w:p>
        <w:p w14:paraId="7A7916EA" w14:textId="77777777" w:rsidR="00815225" w:rsidRPr="00815225" w:rsidRDefault="00815225" w:rsidP="00815225">
          <w:pPr>
            <w:shd w:val="clear" w:color="auto" w:fill="FFFFFF"/>
            <w:spacing w:after="75"/>
            <w:jc w:val="both"/>
            <w:rPr>
              <w:rFonts w:ascii="Arial" w:hAnsi="Arial" w:cs="Arial"/>
              <w:color w:val="000000"/>
              <w:sz w:val="22"/>
              <w:szCs w:val="22"/>
            </w:rPr>
          </w:pPr>
          <w:r w:rsidRPr="00815225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  <w:p w14:paraId="12711967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29.</w:t>
          </w:r>
        </w:p>
        <w:p w14:paraId="17E84AC7" w14:textId="3A8E15AD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Ova Odluka stupa na snagu 01. siječnja 202</w:t>
          </w:r>
          <w:r w:rsidR="008616B6">
            <w:rPr>
              <w:rFonts w:ascii="Arial" w:hAnsi="Arial" w:cs="Arial"/>
              <w:sz w:val="22"/>
              <w:szCs w:val="22"/>
            </w:rPr>
            <w:t>5</w:t>
          </w:r>
          <w:r w:rsidRPr="00815225">
            <w:rPr>
              <w:rFonts w:ascii="Arial" w:hAnsi="Arial" w:cs="Arial"/>
              <w:sz w:val="22"/>
              <w:szCs w:val="22"/>
            </w:rPr>
            <w:t>. godine, a objaviti će se u Službenim novinama Općine Brtonigla-Verteneglio.</w:t>
          </w:r>
        </w:p>
        <w:p w14:paraId="45897D46" w14:textId="77777777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</w:p>
        <w:p w14:paraId="4697BD1F" w14:textId="77777777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</w:p>
        <w:p w14:paraId="463F2E2B" w14:textId="77777777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</w:p>
        <w:p w14:paraId="00DB14A5" w14:textId="137ADF24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KLASA: 400-01/2</w:t>
          </w:r>
          <w:r w:rsidR="008616B6">
            <w:rPr>
              <w:rFonts w:ascii="Arial" w:hAnsi="Arial" w:cs="Arial"/>
            </w:rPr>
            <w:t>4</w:t>
          </w:r>
          <w:r w:rsidRPr="00815225">
            <w:rPr>
              <w:rFonts w:ascii="Arial" w:hAnsi="Arial" w:cs="Arial"/>
            </w:rPr>
            <w:t>-01/0</w:t>
          </w:r>
          <w:r w:rsidR="008616B6">
            <w:rPr>
              <w:rFonts w:ascii="Arial" w:hAnsi="Arial" w:cs="Arial"/>
            </w:rPr>
            <w:t>2</w:t>
          </w:r>
        </w:p>
        <w:p w14:paraId="6FB3BC6E" w14:textId="4638B531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URBROJ:2163-13-04/01-2</w:t>
          </w:r>
          <w:r w:rsidR="008616B6">
            <w:rPr>
              <w:rFonts w:ascii="Arial" w:hAnsi="Arial" w:cs="Arial"/>
            </w:rPr>
            <w:t>4</w:t>
          </w:r>
          <w:r w:rsidRPr="00815225">
            <w:rPr>
              <w:rFonts w:ascii="Arial" w:hAnsi="Arial" w:cs="Arial"/>
            </w:rPr>
            <w:t>-</w:t>
          </w:r>
          <w:r w:rsidR="002636AF">
            <w:rPr>
              <w:rFonts w:ascii="Arial" w:hAnsi="Arial" w:cs="Arial"/>
            </w:rPr>
            <w:t>20</w:t>
          </w:r>
        </w:p>
        <w:p w14:paraId="5D50B488" w14:textId="50519464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Brtonigla-Verteneglio,</w:t>
          </w:r>
          <w:r w:rsidR="002636AF">
            <w:rPr>
              <w:rFonts w:ascii="Arial" w:hAnsi="Arial" w:cs="Arial"/>
            </w:rPr>
            <w:t xml:space="preserve">13.prosinca </w:t>
          </w:r>
          <w:r w:rsidRPr="00815225">
            <w:rPr>
              <w:rFonts w:ascii="Arial" w:hAnsi="Arial" w:cs="Arial"/>
            </w:rPr>
            <w:t xml:space="preserve"> 2024.</w:t>
          </w:r>
        </w:p>
        <w:p w14:paraId="7C2AB26C" w14:textId="77777777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</w:p>
        <w:p w14:paraId="0D0BE474" w14:textId="77777777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</w:p>
        <w:p w14:paraId="1C47FC80" w14:textId="77777777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</w:p>
        <w:p w14:paraId="10AE837C" w14:textId="77777777" w:rsidR="00815225" w:rsidRPr="00815225" w:rsidRDefault="00815225" w:rsidP="00815225">
          <w:pPr>
            <w:pStyle w:val="BodyText"/>
            <w:jc w:val="right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                                                                  </w:t>
          </w:r>
        </w:p>
        <w:p w14:paraId="11F6DC61" w14:textId="77777777" w:rsidR="00815225" w:rsidRPr="00815225" w:rsidRDefault="00815225" w:rsidP="00815225">
          <w:pPr>
            <w:pStyle w:val="BodyText"/>
            <w:jc w:val="right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OPĆINSKO VIJEĆE OPĆINE BRTONIGLA-VERTENEGLIO</w:t>
          </w:r>
        </w:p>
        <w:p w14:paraId="46712EC8" w14:textId="77777777" w:rsidR="00815225" w:rsidRPr="00815225" w:rsidRDefault="00815225" w:rsidP="00815225">
          <w:pPr>
            <w:pStyle w:val="BodyText"/>
            <w:jc w:val="right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                                                                                           Predsjednik </w:t>
          </w:r>
        </w:p>
        <w:p w14:paraId="7F1C9BAC" w14:textId="77777777" w:rsidR="00815225" w:rsidRPr="00815225" w:rsidRDefault="00815225" w:rsidP="00815225">
          <w:pPr>
            <w:ind w:left="4248"/>
            <w:jc w:val="right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                               Željko Ružić</w:t>
          </w:r>
        </w:p>
        <w:p w14:paraId="078D20B4" w14:textId="77777777" w:rsidR="00815225" w:rsidRPr="00815225" w:rsidRDefault="00815225" w:rsidP="0081522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4C2C5FBF" w14:textId="77777777" w:rsidR="00815225" w:rsidRPr="00815225" w:rsidRDefault="00815225" w:rsidP="0081522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5D6211BB" w14:textId="77777777" w:rsidR="00815225" w:rsidRPr="00815225" w:rsidRDefault="00815225" w:rsidP="0081522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626BCC3F" w14:textId="0F94081D" w:rsidR="00815225" w:rsidRPr="00815225" w:rsidRDefault="00815225" w:rsidP="00815225">
          <w:pPr>
            <w:jc w:val="right"/>
            <w:rPr>
              <w:rFonts w:ascii="Arial" w:hAnsi="Arial" w:cs="Arial"/>
              <w:sz w:val="22"/>
              <w:szCs w:val="22"/>
            </w:rPr>
          </w:pPr>
        </w:p>
        <w:p w14:paraId="657B8A7C" w14:textId="65F45AED" w:rsidR="00F5792E" w:rsidRPr="00815225" w:rsidRDefault="002636AF" w:rsidP="002636AF">
          <w:pPr>
            <w:jc w:val="center"/>
            <w:rPr>
              <w:sz w:val="22"/>
              <w:szCs w:val="22"/>
            </w:rPr>
          </w:pPr>
        </w:p>
      </w:sdtContent>
    </w:sdt>
    <w:p w14:paraId="66B499A6" w14:textId="77777777" w:rsidR="00D67AAF" w:rsidRDefault="00D67AAF" w:rsidP="00F41B81">
      <w:pPr>
        <w:pStyle w:val="BodyText2"/>
        <w:rPr>
          <w:sz w:val="24"/>
          <w:szCs w:val="24"/>
        </w:rPr>
      </w:pPr>
    </w:p>
    <w:p w14:paraId="34996848" w14:textId="77777777" w:rsidR="00D67AAF" w:rsidRDefault="00D67AAF" w:rsidP="00F41B81">
      <w:pPr>
        <w:pStyle w:val="BodyText2"/>
        <w:rPr>
          <w:sz w:val="24"/>
          <w:szCs w:val="24"/>
        </w:rPr>
      </w:pPr>
    </w:p>
    <w:p w14:paraId="1AA62DC7" w14:textId="77777777" w:rsidR="00D67AAF" w:rsidRDefault="00D67AAF" w:rsidP="00F41B81">
      <w:pPr>
        <w:pStyle w:val="BodyText2"/>
        <w:rPr>
          <w:sz w:val="24"/>
          <w:szCs w:val="24"/>
        </w:rPr>
      </w:pPr>
    </w:p>
    <w:sectPr w:rsidR="00D67AAF" w:rsidSect="00AB042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6B403" w14:textId="77777777" w:rsidR="00E15510" w:rsidRDefault="00E15510" w:rsidP="009C29DC">
      <w:r>
        <w:separator/>
      </w:r>
    </w:p>
  </w:endnote>
  <w:endnote w:type="continuationSeparator" w:id="0">
    <w:p w14:paraId="480DCA57" w14:textId="77777777" w:rsidR="00E15510" w:rsidRDefault="00E15510" w:rsidP="009C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240621"/>
      <w:docPartObj>
        <w:docPartGallery w:val="Page Numbers (Bottom of Page)"/>
        <w:docPartUnique/>
      </w:docPartObj>
    </w:sdtPr>
    <w:sdtEndPr/>
    <w:sdtContent>
      <w:p w14:paraId="1EBAEEE1" w14:textId="77777777" w:rsidR="009C29DC" w:rsidRDefault="009337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1FA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46AEDE2" w14:textId="77777777" w:rsidR="009C29DC" w:rsidRDefault="009C29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DC960" w14:textId="77777777" w:rsidR="00E15510" w:rsidRDefault="00E15510" w:rsidP="009C29DC">
      <w:r>
        <w:separator/>
      </w:r>
    </w:p>
  </w:footnote>
  <w:footnote w:type="continuationSeparator" w:id="0">
    <w:p w14:paraId="1E909EFA" w14:textId="77777777" w:rsidR="00E15510" w:rsidRDefault="00E15510" w:rsidP="009C2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A64C0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F495A"/>
    <w:multiLevelType w:val="hybridMultilevel"/>
    <w:tmpl w:val="E5487E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A4649"/>
    <w:multiLevelType w:val="hybridMultilevel"/>
    <w:tmpl w:val="DCC04B64"/>
    <w:lvl w:ilvl="0" w:tplc="6292EA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D749B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34244"/>
    <w:multiLevelType w:val="hybridMultilevel"/>
    <w:tmpl w:val="A9F824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70EC8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CD701C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E0460"/>
    <w:multiLevelType w:val="hybridMultilevel"/>
    <w:tmpl w:val="A6DAA7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1574"/>
    <w:multiLevelType w:val="hybridMultilevel"/>
    <w:tmpl w:val="E3A0F7C4"/>
    <w:lvl w:ilvl="0" w:tplc="B290BA6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142353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23FA1"/>
    <w:multiLevelType w:val="hybridMultilevel"/>
    <w:tmpl w:val="AF62DE0A"/>
    <w:lvl w:ilvl="0" w:tplc="9DC4FE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2859C5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4068FA"/>
    <w:multiLevelType w:val="hybridMultilevel"/>
    <w:tmpl w:val="A89AA1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315DB"/>
    <w:multiLevelType w:val="hybridMultilevel"/>
    <w:tmpl w:val="09B6FC38"/>
    <w:lvl w:ilvl="0" w:tplc="7834C3B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3B5FD9"/>
    <w:multiLevelType w:val="hybridMultilevel"/>
    <w:tmpl w:val="9690A0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481D86"/>
    <w:multiLevelType w:val="hybridMultilevel"/>
    <w:tmpl w:val="C1242970"/>
    <w:lvl w:ilvl="0" w:tplc="EE20E7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84314C"/>
    <w:multiLevelType w:val="hybridMultilevel"/>
    <w:tmpl w:val="8CAE7F30"/>
    <w:lvl w:ilvl="0" w:tplc="9DC4FE4E">
      <w:start w:val="1"/>
      <w:numFmt w:val="bullet"/>
      <w:lvlText w:val="-"/>
      <w:lvlJc w:val="left"/>
      <w:pPr>
        <w:ind w:left="22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9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5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62" w:hanging="360"/>
      </w:pPr>
      <w:rPr>
        <w:rFonts w:ascii="Wingdings" w:hAnsi="Wingdings" w:hint="default"/>
      </w:rPr>
    </w:lvl>
  </w:abstractNum>
  <w:abstractNum w:abstractNumId="17" w15:restartNumberingAfterBreak="0">
    <w:nsid w:val="50D677E1"/>
    <w:multiLevelType w:val="hybridMultilevel"/>
    <w:tmpl w:val="BC7EA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9765A0"/>
    <w:multiLevelType w:val="hybridMultilevel"/>
    <w:tmpl w:val="744032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C3B82"/>
    <w:multiLevelType w:val="hybridMultilevel"/>
    <w:tmpl w:val="D0784AF6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D1737"/>
    <w:multiLevelType w:val="hybridMultilevel"/>
    <w:tmpl w:val="BCAEEB5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5517571">
    <w:abstractNumId w:val="2"/>
  </w:num>
  <w:num w:numId="2" w16cid:durableId="1101877827">
    <w:abstractNumId w:val="16"/>
  </w:num>
  <w:num w:numId="3" w16cid:durableId="1818179286">
    <w:abstractNumId w:val="20"/>
  </w:num>
  <w:num w:numId="4" w16cid:durableId="2061780006">
    <w:abstractNumId w:val="1"/>
  </w:num>
  <w:num w:numId="5" w16cid:durableId="1927884799">
    <w:abstractNumId w:val="8"/>
  </w:num>
  <w:num w:numId="6" w16cid:durableId="1344163142">
    <w:abstractNumId w:val="12"/>
  </w:num>
  <w:num w:numId="7" w16cid:durableId="1123499882">
    <w:abstractNumId w:val="15"/>
  </w:num>
  <w:num w:numId="8" w16cid:durableId="1639143860">
    <w:abstractNumId w:val="19"/>
  </w:num>
  <w:num w:numId="9" w16cid:durableId="1877426466">
    <w:abstractNumId w:val="17"/>
  </w:num>
  <w:num w:numId="10" w16cid:durableId="789475362">
    <w:abstractNumId w:val="14"/>
  </w:num>
  <w:num w:numId="11" w16cid:durableId="1213346941">
    <w:abstractNumId w:val="10"/>
  </w:num>
  <w:num w:numId="12" w16cid:durableId="1420131653">
    <w:abstractNumId w:val="9"/>
  </w:num>
  <w:num w:numId="13" w16cid:durableId="883516936">
    <w:abstractNumId w:val="11"/>
  </w:num>
  <w:num w:numId="14" w16cid:durableId="1631127332">
    <w:abstractNumId w:val="0"/>
  </w:num>
  <w:num w:numId="15" w16cid:durableId="1050958587">
    <w:abstractNumId w:val="3"/>
  </w:num>
  <w:num w:numId="16" w16cid:durableId="640237131">
    <w:abstractNumId w:val="6"/>
  </w:num>
  <w:num w:numId="17" w16cid:durableId="784272739">
    <w:abstractNumId w:val="18"/>
  </w:num>
  <w:num w:numId="18" w16cid:durableId="131678364">
    <w:abstractNumId w:val="7"/>
  </w:num>
  <w:num w:numId="19" w16cid:durableId="1927573203">
    <w:abstractNumId w:val="13"/>
  </w:num>
  <w:num w:numId="20" w16cid:durableId="1841650392">
    <w:abstractNumId w:val="4"/>
  </w:num>
  <w:num w:numId="21" w16cid:durableId="8599769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B31"/>
    <w:rsid w:val="0000300D"/>
    <w:rsid w:val="00007A33"/>
    <w:rsid w:val="00011947"/>
    <w:rsid w:val="00015DB8"/>
    <w:rsid w:val="00017C5A"/>
    <w:rsid w:val="00025CE6"/>
    <w:rsid w:val="000304EE"/>
    <w:rsid w:val="00037AC3"/>
    <w:rsid w:val="00045715"/>
    <w:rsid w:val="00050CAA"/>
    <w:rsid w:val="00055A40"/>
    <w:rsid w:val="000564FA"/>
    <w:rsid w:val="000671BC"/>
    <w:rsid w:val="00067673"/>
    <w:rsid w:val="00084A51"/>
    <w:rsid w:val="00090D40"/>
    <w:rsid w:val="000A3B63"/>
    <w:rsid w:val="000B4087"/>
    <w:rsid w:val="000B7697"/>
    <w:rsid w:val="000C519F"/>
    <w:rsid w:val="000D0222"/>
    <w:rsid w:val="000D135F"/>
    <w:rsid w:val="000D2BAC"/>
    <w:rsid w:val="000F5CEA"/>
    <w:rsid w:val="00100A81"/>
    <w:rsid w:val="00105A48"/>
    <w:rsid w:val="0011039A"/>
    <w:rsid w:val="00120187"/>
    <w:rsid w:val="001229B1"/>
    <w:rsid w:val="0012664F"/>
    <w:rsid w:val="00145B6F"/>
    <w:rsid w:val="00145E9E"/>
    <w:rsid w:val="001604DA"/>
    <w:rsid w:val="0016731C"/>
    <w:rsid w:val="00170243"/>
    <w:rsid w:val="00191A8E"/>
    <w:rsid w:val="00192655"/>
    <w:rsid w:val="001A473C"/>
    <w:rsid w:val="001A495A"/>
    <w:rsid w:val="001C4FC8"/>
    <w:rsid w:val="001D49D5"/>
    <w:rsid w:val="001D68C7"/>
    <w:rsid w:val="001E6768"/>
    <w:rsid w:val="001F107E"/>
    <w:rsid w:val="002207E1"/>
    <w:rsid w:val="002516BE"/>
    <w:rsid w:val="00262869"/>
    <w:rsid w:val="002636AF"/>
    <w:rsid w:val="00266549"/>
    <w:rsid w:val="00281467"/>
    <w:rsid w:val="002823EB"/>
    <w:rsid w:val="00283DA0"/>
    <w:rsid w:val="00285643"/>
    <w:rsid w:val="002A5484"/>
    <w:rsid w:val="002B336F"/>
    <w:rsid w:val="002C6D2B"/>
    <w:rsid w:val="002D6149"/>
    <w:rsid w:val="002F40A3"/>
    <w:rsid w:val="00304184"/>
    <w:rsid w:val="00304533"/>
    <w:rsid w:val="0031253F"/>
    <w:rsid w:val="003127F9"/>
    <w:rsid w:val="00320E48"/>
    <w:rsid w:val="00333664"/>
    <w:rsid w:val="00341F41"/>
    <w:rsid w:val="00346276"/>
    <w:rsid w:val="0035228E"/>
    <w:rsid w:val="00354AE1"/>
    <w:rsid w:val="0037195F"/>
    <w:rsid w:val="00374A21"/>
    <w:rsid w:val="00390D25"/>
    <w:rsid w:val="003A1956"/>
    <w:rsid w:val="003A4538"/>
    <w:rsid w:val="003C35B5"/>
    <w:rsid w:val="003D03BE"/>
    <w:rsid w:val="003F1181"/>
    <w:rsid w:val="003F4C33"/>
    <w:rsid w:val="003F4DE4"/>
    <w:rsid w:val="003F6604"/>
    <w:rsid w:val="00412254"/>
    <w:rsid w:val="0041736F"/>
    <w:rsid w:val="00422EDF"/>
    <w:rsid w:val="00423FC0"/>
    <w:rsid w:val="004341CE"/>
    <w:rsid w:val="00461A3B"/>
    <w:rsid w:val="00474047"/>
    <w:rsid w:val="004843B4"/>
    <w:rsid w:val="004A194A"/>
    <w:rsid w:val="004A1D3F"/>
    <w:rsid w:val="004A1E11"/>
    <w:rsid w:val="004A27B7"/>
    <w:rsid w:val="004B3D47"/>
    <w:rsid w:val="004B78C6"/>
    <w:rsid w:val="004C64DF"/>
    <w:rsid w:val="004C6CE0"/>
    <w:rsid w:val="004F253A"/>
    <w:rsid w:val="00507EF6"/>
    <w:rsid w:val="00511D10"/>
    <w:rsid w:val="0051437C"/>
    <w:rsid w:val="00521E09"/>
    <w:rsid w:val="005227CE"/>
    <w:rsid w:val="005250F6"/>
    <w:rsid w:val="00543277"/>
    <w:rsid w:val="0055111C"/>
    <w:rsid w:val="00555341"/>
    <w:rsid w:val="00556A6A"/>
    <w:rsid w:val="00562289"/>
    <w:rsid w:val="00571BAE"/>
    <w:rsid w:val="005860DD"/>
    <w:rsid w:val="005A0528"/>
    <w:rsid w:val="005A2E83"/>
    <w:rsid w:val="005B0670"/>
    <w:rsid w:val="005D0DFC"/>
    <w:rsid w:val="005E340B"/>
    <w:rsid w:val="005E3F6D"/>
    <w:rsid w:val="005E488F"/>
    <w:rsid w:val="005E5DCF"/>
    <w:rsid w:val="005F22F9"/>
    <w:rsid w:val="0060654F"/>
    <w:rsid w:val="0061574B"/>
    <w:rsid w:val="00616923"/>
    <w:rsid w:val="00623C35"/>
    <w:rsid w:val="00626FCA"/>
    <w:rsid w:val="00637AC8"/>
    <w:rsid w:val="0064729E"/>
    <w:rsid w:val="00650091"/>
    <w:rsid w:val="00650BE2"/>
    <w:rsid w:val="00652EDD"/>
    <w:rsid w:val="00655C40"/>
    <w:rsid w:val="00657F8F"/>
    <w:rsid w:val="00665029"/>
    <w:rsid w:val="00671743"/>
    <w:rsid w:val="00681AC9"/>
    <w:rsid w:val="0068680E"/>
    <w:rsid w:val="006B08F5"/>
    <w:rsid w:val="006B77E1"/>
    <w:rsid w:val="006C3324"/>
    <w:rsid w:val="006C68B3"/>
    <w:rsid w:val="006E34C5"/>
    <w:rsid w:val="00705F37"/>
    <w:rsid w:val="00707C0B"/>
    <w:rsid w:val="00722788"/>
    <w:rsid w:val="00740E92"/>
    <w:rsid w:val="00742C38"/>
    <w:rsid w:val="00744B54"/>
    <w:rsid w:val="00750B16"/>
    <w:rsid w:val="00755515"/>
    <w:rsid w:val="00771360"/>
    <w:rsid w:val="00793BAF"/>
    <w:rsid w:val="007A22E6"/>
    <w:rsid w:val="007A58CA"/>
    <w:rsid w:val="007D16D7"/>
    <w:rsid w:val="007E3AA7"/>
    <w:rsid w:val="007F3238"/>
    <w:rsid w:val="00801656"/>
    <w:rsid w:val="00805DE7"/>
    <w:rsid w:val="00811C80"/>
    <w:rsid w:val="00815225"/>
    <w:rsid w:val="008256BE"/>
    <w:rsid w:val="00832349"/>
    <w:rsid w:val="008350A9"/>
    <w:rsid w:val="00837483"/>
    <w:rsid w:val="008507BE"/>
    <w:rsid w:val="00853802"/>
    <w:rsid w:val="008616B6"/>
    <w:rsid w:val="008902D6"/>
    <w:rsid w:val="008973BE"/>
    <w:rsid w:val="008A48DE"/>
    <w:rsid w:val="008B065F"/>
    <w:rsid w:val="008C4491"/>
    <w:rsid w:val="008E10CF"/>
    <w:rsid w:val="008E46A8"/>
    <w:rsid w:val="008F6ADC"/>
    <w:rsid w:val="009106B5"/>
    <w:rsid w:val="00914B4E"/>
    <w:rsid w:val="009179E7"/>
    <w:rsid w:val="00924594"/>
    <w:rsid w:val="00925939"/>
    <w:rsid w:val="00933323"/>
    <w:rsid w:val="009337DC"/>
    <w:rsid w:val="00963215"/>
    <w:rsid w:val="00966B08"/>
    <w:rsid w:val="009911AE"/>
    <w:rsid w:val="0099136E"/>
    <w:rsid w:val="00995A6C"/>
    <w:rsid w:val="009A2ADA"/>
    <w:rsid w:val="009B72C0"/>
    <w:rsid w:val="009B7C23"/>
    <w:rsid w:val="009C29DC"/>
    <w:rsid w:val="009D22AF"/>
    <w:rsid w:val="009D6BDE"/>
    <w:rsid w:val="009E79FD"/>
    <w:rsid w:val="009F3AA9"/>
    <w:rsid w:val="00A12336"/>
    <w:rsid w:val="00A15B63"/>
    <w:rsid w:val="00A2331D"/>
    <w:rsid w:val="00A24110"/>
    <w:rsid w:val="00A26CAD"/>
    <w:rsid w:val="00A27145"/>
    <w:rsid w:val="00A50697"/>
    <w:rsid w:val="00A619D3"/>
    <w:rsid w:val="00A83AB2"/>
    <w:rsid w:val="00A9671D"/>
    <w:rsid w:val="00AA1DD9"/>
    <w:rsid w:val="00AB0426"/>
    <w:rsid w:val="00AC0D5F"/>
    <w:rsid w:val="00AD1B06"/>
    <w:rsid w:val="00AD32C1"/>
    <w:rsid w:val="00AD3BA1"/>
    <w:rsid w:val="00AD77A4"/>
    <w:rsid w:val="00B01083"/>
    <w:rsid w:val="00B01287"/>
    <w:rsid w:val="00B01439"/>
    <w:rsid w:val="00B20DFE"/>
    <w:rsid w:val="00B2152F"/>
    <w:rsid w:val="00B52DDC"/>
    <w:rsid w:val="00B57D13"/>
    <w:rsid w:val="00B62F78"/>
    <w:rsid w:val="00B6379E"/>
    <w:rsid w:val="00B7691F"/>
    <w:rsid w:val="00B804FD"/>
    <w:rsid w:val="00B849B9"/>
    <w:rsid w:val="00BA168D"/>
    <w:rsid w:val="00BA1979"/>
    <w:rsid w:val="00BB3C1D"/>
    <w:rsid w:val="00BC511F"/>
    <w:rsid w:val="00BD1516"/>
    <w:rsid w:val="00BD201E"/>
    <w:rsid w:val="00BD4140"/>
    <w:rsid w:val="00BE4887"/>
    <w:rsid w:val="00BE4CEC"/>
    <w:rsid w:val="00BF0CC6"/>
    <w:rsid w:val="00BF63A4"/>
    <w:rsid w:val="00C02BD6"/>
    <w:rsid w:val="00C201A3"/>
    <w:rsid w:val="00C41861"/>
    <w:rsid w:val="00C51F6A"/>
    <w:rsid w:val="00C62111"/>
    <w:rsid w:val="00C67F5D"/>
    <w:rsid w:val="00C73E18"/>
    <w:rsid w:val="00C7437B"/>
    <w:rsid w:val="00C76A53"/>
    <w:rsid w:val="00C91FAD"/>
    <w:rsid w:val="00CA4C90"/>
    <w:rsid w:val="00CB197D"/>
    <w:rsid w:val="00CB4159"/>
    <w:rsid w:val="00CC0C1B"/>
    <w:rsid w:val="00CD339A"/>
    <w:rsid w:val="00CD37E5"/>
    <w:rsid w:val="00CE7EEA"/>
    <w:rsid w:val="00CF1608"/>
    <w:rsid w:val="00CF328E"/>
    <w:rsid w:val="00CF4994"/>
    <w:rsid w:val="00CF6178"/>
    <w:rsid w:val="00CF7249"/>
    <w:rsid w:val="00CF72FD"/>
    <w:rsid w:val="00D03853"/>
    <w:rsid w:val="00D129C2"/>
    <w:rsid w:val="00D243CF"/>
    <w:rsid w:val="00D27AC5"/>
    <w:rsid w:val="00D31105"/>
    <w:rsid w:val="00D43379"/>
    <w:rsid w:val="00D6219E"/>
    <w:rsid w:val="00D64922"/>
    <w:rsid w:val="00D67AAF"/>
    <w:rsid w:val="00D965A9"/>
    <w:rsid w:val="00D97EA5"/>
    <w:rsid w:val="00DA242B"/>
    <w:rsid w:val="00DB3BF4"/>
    <w:rsid w:val="00DB5B79"/>
    <w:rsid w:val="00DC1C36"/>
    <w:rsid w:val="00DD3F51"/>
    <w:rsid w:val="00DD65F2"/>
    <w:rsid w:val="00DD7CA4"/>
    <w:rsid w:val="00DD7D5C"/>
    <w:rsid w:val="00DE07D6"/>
    <w:rsid w:val="00DE785A"/>
    <w:rsid w:val="00DF73A5"/>
    <w:rsid w:val="00E15510"/>
    <w:rsid w:val="00E16F1C"/>
    <w:rsid w:val="00E17D20"/>
    <w:rsid w:val="00E304AE"/>
    <w:rsid w:val="00E32B31"/>
    <w:rsid w:val="00E539C0"/>
    <w:rsid w:val="00E557AD"/>
    <w:rsid w:val="00E765EA"/>
    <w:rsid w:val="00E839D7"/>
    <w:rsid w:val="00E85617"/>
    <w:rsid w:val="00EB0E71"/>
    <w:rsid w:val="00EB7AF4"/>
    <w:rsid w:val="00EC4EFE"/>
    <w:rsid w:val="00EC5A15"/>
    <w:rsid w:val="00ED180C"/>
    <w:rsid w:val="00ED6D44"/>
    <w:rsid w:val="00EE0FFB"/>
    <w:rsid w:val="00EE6F24"/>
    <w:rsid w:val="00F21620"/>
    <w:rsid w:val="00F22C51"/>
    <w:rsid w:val="00F243D9"/>
    <w:rsid w:val="00F32F00"/>
    <w:rsid w:val="00F41B81"/>
    <w:rsid w:val="00F54FF5"/>
    <w:rsid w:val="00F5792E"/>
    <w:rsid w:val="00F60DDE"/>
    <w:rsid w:val="00F67B67"/>
    <w:rsid w:val="00F70048"/>
    <w:rsid w:val="00F71D04"/>
    <w:rsid w:val="00F7581F"/>
    <w:rsid w:val="00F8571F"/>
    <w:rsid w:val="00F86D6C"/>
    <w:rsid w:val="00FB07AB"/>
    <w:rsid w:val="00FE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17AF7"/>
  <w15:docId w15:val="{82E10405-11C8-4390-87A3-423ABA6A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Char">
    <w:name w:val="Body Text 2 Char"/>
    <w:basedOn w:val="DefaultParagraphFont"/>
    <w:link w:val="BodyText2"/>
    <w:locked/>
    <w:rsid w:val="00E32B31"/>
    <w:rPr>
      <w:rFonts w:ascii="Arial" w:hAnsi="Arial" w:cs="Arial"/>
      <w:lang w:eastAsia="hr-HR"/>
    </w:rPr>
  </w:style>
  <w:style w:type="paragraph" w:styleId="BodyText2">
    <w:name w:val="Body Text 2"/>
    <w:basedOn w:val="Normal"/>
    <w:link w:val="BodyText2Char"/>
    <w:rsid w:val="00E32B31"/>
    <w:pPr>
      <w:ind w:right="-110"/>
      <w:jc w:val="both"/>
    </w:pPr>
    <w:rPr>
      <w:rFonts w:ascii="Arial" w:eastAsiaTheme="minorHAnsi" w:hAnsi="Arial" w:cs="Arial"/>
      <w:sz w:val="22"/>
      <w:szCs w:val="22"/>
    </w:rPr>
  </w:style>
  <w:style w:type="character" w:customStyle="1" w:styleId="BodyText2Char1">
    <w:name w:val="Body Text 2 Char1"/>
    <w:basedOn w:val="DefaultParagraphFont"/>
    <w:uiPriority w:val="99"/>
    <w:semiHidden/>
    <w:rsid w:val="00E32B3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Indent2">
    <w:name w:val="Body Text Indent 2"/>
    <w:basedOn w:val="Normal"/>
    <w:link w:val="BodyTextIndent2Char"/>
    <w:rsid w:val="00E32B3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E32B3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lockText">
    <w:name w:val="Block Text"/>
    <w:basedOn w:val="Normal"/>
    <w:rsid w:val="00E32B31"/>
    <w:pPr>
      <w:ind w:left="-567" w:right="-766"/>
    </w:pPr>
    <w:rPr>
      <w:rFonts w:ascii="Arial" w:hAnsi="Arial"/>
      <w:szCs w:val="20"/>
    </w:rPr>
  </w:style>
  <w:style w:type="paragraph" w:styleId="ListParagraph">
    <w:name w:val="List Paragraph"/>
    <w:basedOn w:val="Normal"/>
    <w:uiPriority w:val="34"/>
    <w:qFormat/>
    <w:rsid w:val="00EB0E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C29D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29D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9C29D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29D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4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3D9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InitialStyle">
    <w:name w:val="InitialStyle"/>
    <w:rsid w:val="00742C38"/>
    <w:rPr>
      <w:rFonts w:ascii="Times New Roman" w:hAnsi="Times New Roman"/>
      <w:color w:val="auto"/>
      <w:spacing w:val="0"/>
      <w:sz w:val="24"/>
    </w:rPr>
  </w:style>
  <w:style w:type="character" w:styleId="Hyperlink">
    <w:name w:val="Hyperlink"/>
    <w:uiPriority w:val="99"/>
    <w:unhideWhenUsed/>
    <w:rsid w:val="007D16D7"/>
    <w:rPr>
      <w:color w:val="0000FF"/>
      <w:u w:val="single"/>
    </w:rPr>
  </w:style>
  <w:style w:type="table" w:styleId="TableGrid">
    <w:name w:val="Table Grid"/>
    <w:basedOn w:val="TableNormal"/>
    <w:uiPriority w:val="39"/>
    <w:rsid w:val="00F57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81522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1522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815225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815225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character" w:styleId="Strong">
    <w:name w:val="Strong"/>
    <w:basedOn w:val="DefaultParagraphFont"/>
    <w:uiPriority w:val="22"/>
    <w:qFormat/>
    <w:rsid w:val="00815225"/>
    <w:rPr>
      <w:b/>
      <w:bCs/>
    </w:rPr>
  </w:style>
  <w:style w:type="character" w:customStyle="1" w:styleId="NoSpacingChar">
    <w:name w:val="No Spacing Char"/>
    <w:link w:val="NoSpacing"/>
    <w:uiPriority w:val="1"/>
    <w:locked/>
    <w:rsid w:val="00815225"/>
    <w:rPr>
      <w:rFonts w:ascii="Calibri" w:eastAsia="Calibri" w:hAnsi="Calibri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1522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15225"/>
    <w:rPr>
      <w:rFonts w:ascii="Calibri" w:eastAsia="Calibri" w:hAnsi="Calibri" w:cs="Times New Roman"/>
    </w:rPr>
  </w:style>
  <w:style w:type="paragraph" w:customStyle="1" w:styleId="T-98-2">
    <w:name w:val="T-9/8-2"/>
    <w:basedOn w:val="Normal"/>
    <w:rsid w:val="00815225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51272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818835673">
                  <w:marLeft w:val="15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5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24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86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2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48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1955</Words>
  <Characters>11147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Marica</dc:creator>
  <cp:lastModifiedBy>Marica Garić</cp:lastModifiedBy>
  <cp:revision>4</cp:revision>
  <cp:lastPrinted>2024-11-27T07:45:00Z</cp:lastPrinted>
  <dcterms:created xsi:type="dcterms:W3CDTF">2024-12-03T09:41:00Z</dcterms:created>
  <dcterms:modified xsi:type="dcterms:W3CDTF">2024-12-18T11:11:00Z</dcterms:modified>
</cp:coreProperties>
</file>